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55" w:rsidRPr="00F704A3" w:rsidRDefault="00067655" w:rsidP="00067655">
      <w:pPr>
        <w:tabs>
          <w:tab w:val="left" w:pos="3546"/>
          <w:tab w:val="center" w:pos="4320"/>
        </w:tabs>
        <w:jc w:val="center"/>
        <w:rPr>
          <w:b/>
          <w:sz w:val="26"/>
          <w:szCs w:val="28"/>
        </w:rPr>
      </w:pPr>
      <w:r w:rsidRPr="00F704A3">
        <w:rPr>
          <w:b/>
          <w:sz w:val="26"/>
          <w:szCs w:val="28"/>
        </w:rPr>
        <w:t>GIẢI THÍCH BIỂU SỐ 27a/BTP/BTTP/GĐTP</w:t>
      </w:r>
    </w:p>
    <w:p w:rsidR="00067655" w:rsidRPr="00F704A3" w:rsidRDefault="00067655" w:rsidP="00067655">
      <w:pPr>
        <w:jc w:val="center"/>
        <w:rPr>
          <w:b/>
          <w:sz w:val="26"/>
          <w:szCs w:val="28"/>
          <w:vertAlign w:val="superscript"/>
        </w:rPr>
      </w:pPr>
      <w:r w:rsidRPr="00F704A3">
        <w:rPr>
          <w:b/>
          <w:sz w:val="26"/>
          <w:szCs w:val="28"/>
        </w:rPr>
        <w:t>Số vụ việc đã thực hiện giám định tư pháp tại các tổ chức giám định tư pháp công lập ở địa phương/trung ương</w:t>
      </w:r>
    </w:p>
    <w:p w:rsidR="00067655" w:rsidRPr="00F704A3" w:rsidRDefault="00067655" w:rsidP="00067655">
      <w:pPr>
        <w:tabs>
          <w:tab w:val="left" w:pos="3546"/>
          <w:tab w:val="center" w:pos="4320"/>
        </w:tabs>
        <w:jc w:val="center"/>
        <w:rPr>
          <w:b/>
          <w:sz w:val="26"/>
          <w:szCs w:val="28"/>
        </w:rPr>
      </w:pPr>
    </w:p>
    <w:p w:rsidR="00067655" w:rsidRPr="00F704A3" w:rsidRDefault="00067655" w:rsidP="00067655">
      <w:pPr>
        <w:tabs>
          <w:tab w:val="left" w:pos="5894"/>
        </w:tabs>
        <w:ind w:firstLine="720"/>
        <w:rPr>
          <w:b/>
          <w:sz w:val="26"/>
          <w:szCs w:val="28"/>
        </w:rPr>
      </w:pPr>
      <w:r w:rsidRPr="00F704A3">
        <w:rPr>
          <w:b/>
          <w:sz w:val="26"/>
          <w:szCs w:val="28"/>
        </w:rPr>
        <w:t>1. Đơn vị báo cáo</w:t>
      </w:r>
    </w:p>
    <w:p w:rsidR="00067655" w:rsidRPr="00F704A3" w:rsidRDefault="00067655" w:rsidP="00067655">
      <w:pPr>
        <w:ind w:firstLine="720"/>
        <w:jc w:val="both"/>
        <w:rPr>
          <w:spacing w:val="-6"/>
          <w:sz w:val="26"/>
          <w:szCs w:val="28"/>
        </w:rPr>
      </w:pPr>
      <w:r w:rsidRPr="00F704A3">
        <w:rPr>
          <w:spacing w:val="-6"/>
          <w:sz w:val="26"/>
          <w:szCs w:val="28"/>
        </w:rPr>
        <w:t>Đơn vị báo cáo (đơn vị thực hiện báo cáo Biểu số 27a/BTP/BTTP/GĐTP) bao gồm:</w:t>
      </w:r>
    </w:p>
    <w:p w:rsidR="00067655" w:rsidRPr="00F704A3" w:rsidRDefault="00067655" w:rsidP="00067655">
      <w:pPr>
        <w:ind w:firstLine="720"/>
        <w:jc w:val="both"/>
        <w:rPr>
          <w:sz w:val="26"/>
          <w:szCs w:val="28"/>
        </w:rPr>
      </w:pPr>
      <w:r w:rsidRPr="00F704A3">
        <w:rPr>
          <w:sz w:val="26"/>
          <w:szCs w:val="28"/>
        </w:rPr>
        <w:t>- Tổ chức giám định tư pháp công lập theo quy định tại đoạn 2 khoản 1, điểm b khoản 2 và điểm b khoản 4 Điều 12 của Luật giám định tư pháp:</w:t>
      </w:r>
    </w:p>
    <w:p w:rsidR="00067655" w:rsidRPr="00F704A3" w:rsidRDefault="00067655" w:rsidP="00067655">
      <w:pPr>
        <w:ind w:firstLine="720"/>
        <w:jc w:val="both"/>
        <w:rPr>
          <w:sz w:val="26"/>
          <w:szCs w:val="28"/>
        </w:rPr>
      </w:pPr>
      <w:r w:rsidRPr="00F704A3">
        <w:rPr>
          <w:sz w:val="26"/>
          <w:szCs w:val="28"/>
        </w:rPr>
        <w:t>+ Trung tâm pháp y tỉnh cấp tỉnh;</w:t>
      </w:r>
    </w:p>
    <w:p w:rsidR="00067655" w:rsidRPr="00F704A3" w:rsidRDefault="00067655" w:rsidP="00067655">
      <w:pPr>
        <w:ind w:firstLine="720"/>
        <w:jc w:val="both"/>
        <w:rPr>
          <w:sz w:val="26"/>
          <w:szCs w:val="28"/>
        </w:rPr>
      </w:pPr>
      <w:r w:rsidRPr="00F704A3">
        <w:rPr>
          <w:sz w:val="26"/>
          <w:szCs w:val="28"/>
        </w:rPr>
        <w:t>+ Phòng kỹ thuật hình sự thuộc Công an cấp tỉnh;</w:t>
      </w:r>
    </w:p>
    <w:p w:rsidR="00067655" w:rsidRPr="00F704A3" w:rsidRDefault="00067655" w:rsidP="00067655">
      <w:pPr>
        <w:tabs>
          <w:tab w:val="left" w:pos="3546"/>
          <w:tab w:val="center" w:pos="4320"/>
        </w:tabs>
        <w:jc w:val="both"/>
        <w:rPr>
          <w:sz w:val="26"/>
          <w:szCs w:val="28"/>
          <w:lang w:val="fr-FR"/>
        </w:rPr>
      </w:pPr>
      <w:r w:rsidRPr="00F704A3">
        <w:rPr>
          <w:sz w:val="26"/>
          <w:szCs w:val="28"/>
        </w:rPr>
        <w:t xml:space="preserve">          </w:t>
      </w:r>
      <w:r w:rsidRPr="00F704A3">
        <w:rPr>
          <w:sz w:val="26"/>
          <w:szCs w:val="28"/>
          <w:lang w:val="fr-FR"/>
        </w:rPr>
        <w:t xml:space="preserve">+ Viện pháp y quốc gia thuộc Bộ Y tế; </w:t>
      </w:r>
    </w:p>
    <w:p w:rsidR="00067655" w:rsidRPr="00F704A3" w:rsidRDefault="00067655" w:rsidP="00067655">
      <w:pPr>
        <w:tabs>
          <w:tab w:val="left" w:pos="5894"/>
        </w:tabs>
        <w:jc w:val="both"/>
        <w:rPr>
          <w:sz w:val="26"/>
          <w:szCs w:val="28"/>
          <w:lang w:val="fr-FR"/>
        </w:rPr>
      </w:pPr>
      <w:r w:rsidRPr="00F704A3">
        <w:rPr>
          <w:sz w:val="26"/>
          <w:szCs w:val="28"/>
          <w:lang w:val="fr-FR"/>
        </w:rPr>
        <w:t xml:space="preserve">          + Viện pháp y quân đội thuộc Bộ Quốc phòng;</w:t>
      </w:r>
    </w:p>
    <w:p w:rsidR="00067655" w:rsidRPr="00F704A3" w:rsidRDefault="00067655" w:rsidP="00067655">
      <w:pPr>
        <w:tabs>
          <w:tab w:val="left" w:pos="5894"/>
        </w:tabs>
        <w:jc w:val="both"/>
        <w:rPr>
          <w:sz w:val="26"/>
          <w:szCs w:val="28"/>
          <w:lang w:val="fr-FR"/>
        </w:rPr>
      </w:pPr>
      <w:r w:rsidRPr="00F704A3">
        <w:rPr>
          <w:sz w:val="26"/>
          <w:szCs w:val="28"/>
          <w:lang w:val="fr-FR"/>
        </w:rPr>
        <w:t xml:space="preserve">          + Viện khoa học hình sự thuộc Bộ Công an;</w:t>
      </w:r>
    </w:p>
    <w:p w:rsidR="00067655" w:rsidRPr="00F704A3" w:rsidRDefault="00067655" w:rsidP="00067655">
      <w:pPr>
        <w:tabs>
          <w:tab w:val="left" w:pos="5894"/>
        </w:tabs>
        <w:jc w:val="both"/>
        <w:rPr>
          <w:sz w:val="26"/>
          <w:szCs w:val="28"/>
          <w:lang w:val="fr-FR"/>
        </w:rPr>
      </w:pPr>
      <w:r w:rsidRPr="00F704A3">
        <w:rPr>
          <w:sz w:val="26"/>
          <w:szCs w:val="28"/>
          <w:lang w:val="fr-FR"/>
        </w:rPr>
        <w:t xml:space="preserve">          + Phòng kỹ thuật hình sự thuộc Bộ Quốc phòng ;</w:t>
      </w:r>
    </w:p>
    <w:p w:rsidR="00067655" w:rsidRPr="00F704A3" w:rsidRDefault="00067655" w:rsidP="00067655">
      <w:pPr>
        <w:tabs>
          <w:tab w:val="left" w:pos="5894"/>
        </w:tabs>
        <w:jc w:val="both"/>
        <w:rPr>
          <w:sz w:val="26"/>
          <w:szCs w:val="28"/>
          <w:lang w:val="fr-FR"/>
        </w:rPr>
      </w:pPr>
      <w:r w:rsidRPr="00F704A3">
        <w:rPr>
          <w:sz w:val="26"/>
          <w:szCs w:val="28"/>
          <w:lang w:val="fr-FR"/>
        </w:rPr>
        <w:t xml:space="preserve">          + Các tổ chức giám định tư pháp công lập ở các lĩnh vực khác (nếu có) theo quy định tại Điều 12 Luật giám định tư pháp.</w:t>
      </w:r>
    </w:p>
    <w:p w:rsidR="00067655" w:rsidRPr="00F704A3" w:rsidRDefault="00067655" w:rsidP="00067655">
      <w:pPr>
        <w:ind w:firstLine="720"/>
        <w:jc w:val="both"/>
        <w:rPr>
          <w:b/>
          <w:sz w:val="26"/>
          <w:szCs w:val="28"/>
        </w:rPr>
      </w:pPr>
      <w:r w:rsidRPr="00F704A3">
        <w:rPr>
          <w:b/>
          <w:sz w:val="26"/>
          <w:szCs w:val="28"/>
        </w:rPr>
        <w:t>2. Đơn vị nhận báo cáo</w:t>
      </w:r>
    </w:p>
    <w:p w:rsidR="00067655" w:rsidRPr="00F704A3" w:rsidRDefault="00067655" w:rsidP="00067655">
      <w:pPr>
        <w:ind w:firstLine="720"/>
        <w:jc w:val="both"/>
        <w:rPr>
          <w:sz w:val="26"/>
          <w:szCs w:val="28"/>
        </w:rPr>
      </w:pPr>
      <w:r w:rsidRPr="00F704A3">
        <w:rPr>
          <w:sz w:val="26"/>
          <w:szCs w:val="28"/>
        </w:rPr>
        <w:t>Sở Tư pháp, Cơ quan chuyên môn của Ủy ban nhân dân tỉnh quản lý lĩnh vực giám định tư pháp gồm: Sở Y tế, Công an tỉnh, thành phố trực thuộc trung ương, Sở Tài chính, Sở Xây dựng, Sở Giao thông vận tải, Sở Thông tin truyền thông, Sở  Tài nguyên mô</w:t>
      </w:r>
      <w:r>
        <w:rPr>
          <w:sz w:val="26"/>
          <w:szCs w:val="28"/>
        </w:rPr>
        <w:t>i</w:t>
      </w:r>
      <w:r w:rsidRPr="00F704A3">
        <w:rPr>
          <w:sz w:val="26"/>
          <w:szCs w:val="28"/>
        </w:rPr>
        <w:t xml:space="preserve"> trường, Sở Nông nghiệp và phát triển nông thôn và các Sở, ngành ở địa phương có hoạt động giám định tư pháp nhận báo cáo của Tổ chức giám định tư pháp công lập cấp tỉnh</w:t>
      </w:r>
    </w:p>
    <w:p w:rsidR="00067655" w:rsidRPr="00F704A3" w:rsidRDefault="00067655" w:rsidP="00067655">
      <w:pPr>
        <w:ind w:firstLine="720"/>
        <w:jc w:val="both"/>
        <w:rPr>
          <w:sz w:val="26"/>
          <w:szCs w:val="28"/>
        </w:rPr>
      </w:pPr>
      <w:r w:rsidRPr="00F704A3">
        <w:rPr>
          <w:sz w:val="26"/>
          <w:szCs w:val="28"/>
        </w:rPr>
        <w:t xml:space="preserve">Bộ Tư pháp, </w:t>
      </w:r>
      <w:r>
        <w:rPr>
          <w:sz w:val="26"/>
          <w:szCs w:val="28"/>
        </w:rPr>
        <w:t>Bộ, cơ quan ngang bộ</w:t>
      </w:r>
      <w:r w:rsidRPr="00F704A3">
        <w:rPr>
          <w:sz w:val="26"/>
          <w:szCs w:val="28"/>
        </w:rPr>
        <w:t xml:space="preserve"> chủ quản của Tổ chức giám định tư pháp công lập cấp Trung ương nhận báo cáo của Tổ chức giám định tư pháp công lập của Trung ương.</w:t>
      </w:r>
    </w:p>
    <w:p w:rsidR="00067655" w:rsidRPr="00F704A3" w:rsidRDefault="00067655" w:rsidP="00067655">
      <w:pPr>
        <w:ind w:firstLine="720"/>
        <w:rPr>
          <w:b/>
          <w:sz w:val="26"/>
          <w:szCs w:val="28"/>
        </w:rPr>
      </w:pPr>
      <w:r w:rsidRPr="00F704A3">
        <w:rPr>
          <w:b/>
          <w:sz w:val="26"/>
          <w:szCs w:val="28"/>
        </w:rPr>
        <w:t>3. Nội dung, phương pháp tính</w:t>
      </w:r>
    </w:p>
    <w:p w:rsidR="00067655" w:rsidRPr="00F704A3" w:rsidRDefault="00067655" w:rsidP="00067655">
      <w:pPr>
        <w:ind w:left="720"/>
        <w:rPr>
          <w:sz w:val="26"/>
          <w:szCs w:val="28"/>
        </w:rPr>
      </w:pPr>
      <w:r w:rsidRPr="00F704A3">
        <w:rPr>
          <w:sz w:val="26"/>
          <w:szCs w:val="28"/>
        </w:rPr>
        <w:t>* Nội dung:</w:t>
      </w:r>
    </w:p>
    <w:p w:rsidR="00067655" w:rsidRPr="00F704A3" w:rsidRDefault="00067655" w:rsidP="00067655">
      <w:pPr>
        <w:ind w:left="720"/>
        <w:rPr>
          <w:sz w:val="26"/>
          <w:szCs w:val="28"/>
        </w:rPr>
      </w:pPr>
      <w:r w:rsidRPr="00F704A3">
        <w:rPr>
          <w:sz w:val="26"/>
          <w:szCs w:val="28"/>
        </w:rPr>
        <w:t xml:space="preserve">- Phản ánh số vụ việc đã thực hiện giám định tư pháp tại các tổ chức giám định tư pháp công lập ở địa phương và trung ương </w:t>
      </w:r>
    </w:p>
    <w:p w:rsidR="00067655" w:rsidRPr="00F704A3" w:rsidRDefault="00067655" w:rsidP="00067655">
      <w:pPr>
        <w:ind w:firstLine="720"/>
        <w:jc w:val="both"/>
        <w:rPr>
          <w:sz w:val="26"/>
          <w:szCs w:val="28"/>
        </w:rPr>
      </w:pPr>
      <w:r w:rsidRPr="00F704A3">
        <w:rPr>
          <w:sz w:val="26"/>
          <w:szCs w:val="28"/>
        </w:rPr>
        <w:t xml:space="preserve">- Giải thích thuật ngữ: </w:t>
      </w:r>
    </w:p>
    <w:p w:rsidR="00067655" w:rsidRPr="00F704A3" w:rsidRDefault="00067655" w:rsidP="00067655">
      <w:pPr>
        <w:ind w:firstLine="720"/>
        <w:jc w:val="both"/>
        <w:rPr>
          <w:sz w:val="26"/>
          <w:szCs w:val="28"/>
        </w:rPr>
      </w:pPr>
      <w:r w:rsidRPr="00F704A3">
        <w:rPr>
          <w:sz w:val="26"/>
          <w:szCs w:val="28"/>
        </w:rPr>
        <w:t>+ Số “vụ việc đã thực hiện giám định” là số vụ việc thực hiện giám định đã có bản kết luận giám định trong kỳ báo cáo.</w:t>
      </w:r>
    </w:p>
    <w:p w:rsidR="00067655" w:rsidRPr="00F704A3" w:rsidRDefault="00067655" w:rsidP="00067655">
      <w:pPr>
        <w:ind w:firstLine="720"/>
        <w:jc w:val="both"/>
        <w:rPr>
          <w:sz w:val="26"/>
          <w:szCs w:val="28"/>
        </w:rPr>
      </w:pPr>
      <w:r w:rsidRPr="00F704A3">
        <w:rPr>
          <w:sz w:val="26"/>
          <w:szCs w:val="28"/>
        </w:rPr>
        <w:t>+ “Người yêu cầu giám định”</w:t>
      </w:r>
      <w:r>
        <w:rPr>
          <w:sz w:val="26"/>
          <w:szCs w:val="28"/>
        </w:rPr>
        <w:t xml:space="preserve"> </w:t>
      </w:r>
      <w:r w:rsidRPr="00F704A3">
        <w:rPr>
          <w:sz w:val="26"/>
          <w:szCs w:val="28"/>
        </w:rPr>
        <w:t>là người có quyền tự mình yêu cầu giám định sau khi đã đề nghị cơ quan tiến hành tố tụng, người tiến hành tố tụng trưng cầu giám định mà  không được chấp nhận theo quy định tại khoản 3 Điều 2 của Luật giám định tư pháp.</w:t>
      </w:r>
    </w:p>
    <w:p w:rsidR="00067655" w:rsidRPr="00F704A3" w:rsidRDefault="00067655" w:rsidP="00067655">
      <w:pPr>
        <w:ind w:firstLine="720"/>
        <w:jc w:val="both"/>
        <w:rPr>
          <w:sz w:val="26"/>
          <w:szCs w:val="28"/>
        </w:rPr>
      </w:pPr>
      <w:r w:rsidRPr="00F704A3">
        <w:rPr>
          <w:sz w:val="26"/>
          <w:szCs w:val="28"/>
        </w:rPr>
        <w:t>+ Các cột “Khác” tại các cột (</w:t>
      </w:r>
      <w:r>
        <w:rPr>
          <w:sz w:val="26"/>
          <w:szCs w:val="28"/>
        </w:rPr>
        <w:t>6, 11, 16</w:t>
      </w:r>
      <w:r w:rsidRPr="00F704A3">
        <w:rPr>
          <w:sz w:val="26"/>
          <w:szCs w:val="28"/>
        </w:rPr>
        <w:t>): Số vụ việc đã thực hiện giám định tư pháp trong các lĩnh vực tài chính, văn hóa, xây dựng và các lĩnh vực khác (do tổ chức giám định tư pháp công lập thực hiện).</w:t>
      </w:r>
    </w:p>
    <w:p w:rsidR="00067655" w:rsidRPr="00F704A3" w:rsidRDefault="00067655" w:rsidP="00067655">
      <w:pPr>
        <w:ind w:left="720"/>
        <w:rPr>
          <w:sz w:val="26"/>
          <w:szCs w:val="28"/>
        </w:rPr>
      </w:pPr>
      <w:r w:rsidRPr="00F704A3">
        <w:rPr>
          <w:sz w:val="26"/>
          <w:szCs w:val="28"/>
        </w:rPr>
        <w:t xml:space="preserve">* Phương pháp tính: </w:t>
      </w:r>
    </w:p>
    <w:p w:rsidR="00067655" w:rsidRPr="00F704A3" w:rsidRDefault="00067655" w:rsidP="00067655">
      <w:pPr>
        <w:ind w:left="720"/>
        <w:rPr>
          <w:sz w:val="26"/>
          <w:szCs w:val="28"/>
        </w:rPr>
      </w:pPr>
      <w:r w:rsidRPr="00F704A3">
        <w:rPr>
          <w:sz w:val="26"/>
          <w:szCs w:val="28"/>
        </w:rPr>
        <w:lastRenderedPageBreak/>
        <w:t>- Cột 1   = Cột (2+7+12).</w:t>
      </w:r>
    </w:p>
    <w:p w:rsidR="00067655" w:rsidRPr="00F704A3" w:rsidRDefault="00067655" w:rsidP="00067655">
      <w:pPr>
        <w:ind w:left="720"/>
        <w:rPr>
          <w:sz w:val="26"/>
          <w:szCs w:val="28"/>
        </w:rPr>
      </w:pPr>
      <w:r w:rsidRPr="00F704A3">
        <w:rPr>
          <w:sz w:val="26"/>
          <w:szCs w:val="28"/>
        </w:rPr>
        <w:t>- Cột 2   = Cột (3+4+5+6).</w:t>
      </w:r>
    </w:p>
    <w:p w:rsidR="00067655" w:rsidRPr="00F704A3" w:rsidRDefault="00067655" w:rsidP="00067655">
      <w:pPr>
        <w:ind w:left="720"/>
        <w:rPr>
          <w:sz w:val="26"/>
          <w:szCs w:val="28"/>
        </w:rPr>
      </w:pPr>
      <w:r w:rsidRPr="00F704A3">
        <w:rPr>
          <w:sz w:val="26"/>
          <w:szCs w:val="28"/>
        </w:rPr>
        <w:t>- Cột 7   = Cột (8+9+10+11).</w:t>
      </w:r>
    </w:p>
    <w:p w:rsidR="00067655" w:rsidRPr="00F704A3" w:rsidRDefault="00067655" w:rsidP="00067655">
      <w:pPr>
        <w:ind w:firstLine="720"/>
        <w:rPr>
          <w:sz w:val="26"/>
          <w:szCs w:val="28"/>
        </w:rPr>
      </w:pPr>
      <w:r w:rsidRPr="00F704A3">
        <w:rPr>
          <w:sz w:val="26"/>
          <w:szCs w:val="28"/>
        </w:rPr>
        <w:t>- Cột 12 = Cột (13+14+15</w:t>
      </w:r>
      <w:r>
        <w:rPr>
          <w:sz w:val="26"/>
          <w:szCs w:val="28"/>
        </w:rPr>
        <w:t>+16</w:t>
      </w:r>
      <w:r w:rsidRPr="00F704A3">
        <w:rPr>
          <w:sz w:val="26"/>
          <w:szCs w:val="28"/>
        </w:rPr>
        <w:t>).</w:t>
      </w:r>
    </w:p>
    <w:p w:rsidR="00067655" w:rsidRPr="00F704A3" w:rsidRDefault="00067655" w:rsidP="00067655">
      <w:pPr>
        <w:rPr>
          <w:b/>
          <w:sz w:val="26"/>
          <w:szCs w:val="28"/>
        </w:rPr>
      </w:pPr>
      <w:r w:rsidRPr="00F704A3">
        <w:rPr>
          <w:b/>
          <w:sz w:val="26"/>
          <w:szCs w:val="28"/>
        </w:rPr>
        <w:t xml:space="preserve">           4. Nguồn số liệu</w:t>
      </w:r>
    </w:p>
    <w:p w:rsidR="00067655" w:rsidRPr="00F704A3" w:rsidRDefault="00067655" w:rsidP="00067655">
      <w:pPr>
        <w:ind w:firstLine="720"/>
        <w:jc w:val="both"/>
        <w:rPr>
          <w:b/>
          <w:spacing w:val="-6"/>
          <w:sz w:val="26"/>
          <w:szCs w:val="28"/>
        </w:rPr>
      </w:pPr>
      <w:r w:rsidRPr="00F704A3">
        <w:rPr>
          <w:spacing w:val="-6"/>
          <w:sz w:val="26"/>
          <w:szCs w:val="28"/>
        </w:rPr>
        <w:t>Từ sổ sách ghi chép ban đầu và hồ sơ giám định tại các tổ chức giám định tư pháp công lập ở cấp tỉnh và trung ương theo quy định tại Điều 12 Luật giám định tư pháp</w:t>
      </w:r>
    </w:p>
    <w:p w:rsidR="00A6658C" w:rsidRDefault="00A6658C" w:rsidP="00067655">
      <w:bookmarkStart w:id="0" w:name="_GoBack"/>
      <w:bookmarkEnd w:id="0"/>
    </w:p>
    <w:sectPr w:rsidR="00A6658C" w:rsidSect="00067655">
      <w:pgSz w:w="16840" w:h="11907" w:orient="landscape" w:code="9"/>
      <w:pgMar w:top="1701" w:right="964" w:bottom="851" w:left="964" w:header="397" w:footer="39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54A7C"/>
    <w:multiLevelType w:val="hybridMultilevel"/>
    <w:tmpl w:val="611CD652"/>
    <w:lvl w:ilvl="0" w:tplc="0409000F">
      <w:start w:val="1"/>
      <w:numFmt w:val="decimal"/>
      <w:lvlText w:val="%1."/>
      <w:lvlJc w:val="left"/>
      <w:pPr>
        <w:ind w:left="720" w:hanging="360"/>
      </w:pPr>
      <w:rPr>
        <w:rFonts w:hint="default"/>
      </w:rPr>
    </w:lvl>
    <w:lvl w:ilvl="1" w:tplc="B6A6889E">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24FC0"/>
    <w:multiLevelType w:val="multilevel"/>
    <w:tmpl w:val="627816A2"/>
    <w:lvl w:ilvl="0">
      <w:start w:val="1"/>
      <w:numFmt w:val="decimal"/>
      <w:lvlText w:val="%1."/>
      <w:lvlJc w:val="left"/>
      <w:pPr>
        <w:tabs>
          <w:tab w:val="num" w:pos="720"/>
        </w:tabs>
        <w:ind w:left="720" w:hanging="720"/>
      </w:pPr>
    </w:lvl>
    <w:lvl w:ilvl="1">
      <w:start w:val="1"/>
      <w:numFmt w:val="decimal"/>
      <w:pStyle w:val="Style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76E33F0"/>
    <w:multiLevelType w:val="hybridMultilevel"/>
    <w:tmpl w:val="86840858"/>
    <w:lvl w:ilvl="0" w:tplc="542A398E">
      <w:start w:val="1"/>
      <w:numFmt w:val="upperRoman"/>
      <w:pStyle w:val="Style1"/>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6D25E9"/>
    <w:multiLevelType w:val="hybridMultilevel"/>
    <w:tmpl w:val="BBDA1A94"/>
    <w:lvl w:ilvl="0" w:tplc="6E24C84C">
      <w:start w:val="1"/>
      <w:numFmt w:val="upperRoman"/>
      <w:pStyle w:val="Style2"/>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C79C1"/>
    <w:multiLevelType w:val="hybridMultilevel"/>
    <w:tmpl w:val="E1AE8D56"/>
    <w:lvl w:ilvl="0" w:tplc="9F52B29E">
      <w:start w:val="1"/>
      <w:numFmt w:val="upperRoman"/>
      <w:pStyle w:val="Vui"/>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55"/>
    <w:rsid w:val="00067655"/>
    <w:rsid w:val="005116EA"/>
    <w:rsid w:val="0059118F"/>
    <w:rsid w:val="00A6658C"/>
    <w:rsid w:val="00C2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30219-0527-4C29-8545-31F06A0E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b/>
        <w:sz w:val="26"/>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55"/>
    <w:pPr>
      <w:spacing w:after="0" w:line="240" w:lineRule="auto"/>
    </w:pPr>
    <w:rPr>
      <w:rFonts w:eastAsia="Times New Roman" w:cs="Times New Roman"/>
      <w:b w:val="0"/>
      <w:sz w:val="24"/>
    </w:rPr>
  </w:style>
  <w:style w:type="paragraph" w:styleId="Heading1">
    <w:name w:val="heading 1"/>
    <w:basedOn w:val="Normal"/>
    <w:next w:val="Normal"/>
    <w:link w:val="Heading1Char"/>
    <w:uiPriority w:val="9"/>
    <w:qFormat/>
    <w:rsid w:val="005116EA"/>
    <w:pPr>
      <w:keepNext/>
      <w:keepLines/>
      <w:spacing w:before="240" w:line="259" w:lineRule="auto"/>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ListParagraph"/>
    <w:link w:val="Style6Char"/>
    <w:qFormat/>
    <w:rsid w:val="005116EA"/>
    <w:pPr>
      <w:numPr>
        <w:ilvl w:val="1"/>
        <w:numId w:val="5"/>
      </w:numPr>
      <w:tabs>
        <w:tab w:val="left" w:pos="900"/>
      </w:tabs>
      <w:spacing w:before="120" w:after="0" w:line="288" w:lineRule="auto"/>
      <w:ind w:hanging="360"/>
      <w:contextualSpacing w:val="0"/>
      <w:jc w:val="both"/>
    </w:pPr>
    <w:rPr>
      <w:rFonts w:eastAsia="Times New Roman"/>
      <w:szCs w:val="26"/>
      <w:lang w:val="x-none" w:eastAsia="x-none"/>
    </w:rPr>
  </w:style>
  <w:style w:type="character" w:customStyle="1" w:styleId="Style6Char">
    <w:name w:val="Style6 Char"/>
    <w:basedOn w:val="DefaultParagraphFont"/>
    <w:link w:val="Style6"/>
    <w:rsid w:val="005116EA"/>
    <w:rPr>
      <w:rFonts w:eastAsia="Times New Roman"/>
      <w:szCs w:val="26"/>
      <w:lang w:val="x-none" w:eastAsia="x-none"/>
    </w:rPr>
  </w:style>
  <w:style w:type="paragraph" w:styleId="ListParagraph">
    <w:name w:val="List Paragraph"/>
    <w:basedOn w:val="Normal"/>
    <w:uiPriority w:val="34"/>
    <w:qFormat/>
    <w:rsid w:val="005116EA"/>
    <w:pPr>
      <w:spacing w:after="160" w:line="259" w:lineRule="auto"/>
      <w:ind w:left="720"/>
      <w:contextualSpacing/>
    </w:pPr>
    <w:rPr>
      <w:rFonts w:eastAsiaTheme="minorHAnsi" w:cstheme="majorHAnsi"/>
      <w:b/>
      <w:sz w:val="26"/>
    </w:rPr>
  </w:style>
  <w:style w:type="paragraph" w:customStyle="1" w:styleId="Vui">
    <w:name w:val="Vui"/>
    <w:basedOn w:val="Heading1"/>
    <w:link w:val="VuiChar"/>
    <w:qFormat/>
    <w:rsid w:val="005116EA"/>
    <w:pPr>
      <w:numPr>
        <w:numId w:val="2"/>
      </w:numPr>
      <w:ind w:left="1080"/>
    </w:pPr>
    <w:rPr>
      <w:sz w:val="28"/>
    </w:rPr>
  </w:style>
  <w:style w:type="character" w:customStyle="1" w:styleId="VuiChar">
    <w:name w:val="Vui Char"/>
    <w:basedOn w:val="Heading1Char"/>
    <w:link w:val="Vui"/>
    <w:rsid w:val="005116EA"/>
    <w:rPr>
      <w:rFonts w:asciiTheme="majorHAnsi" w:eastAsiaTheme="majorEastAsia" w:hAnsiTheme="majorHAnsi" w:cstheme="majorBidi"/>
      <w:color w:val="2E74B5" w:themeColor="accent1" w:themeShade="BF"/>
      <w:sz w:val="28"/>
      <w:szCs w:val="32"/>
    </w:rPr>
  </w:style>
  <w:style w:type="character" w:customStyle="1" w:styleId="Heading1Char">
    <w:name w:val="Heading 1 Char"/>
    <w:basedOn w:val="DefaultParagraphFont"/>
    <w:link w:val="Heading1"/>
    <w:uiPriority w:val="9"/>
    <w:rsid w:val="005116EA"/>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link w:val="Style1Char"/>
    <w:qFormat/>
    <w:rsid w:val="005116EA"/>
    <w:pPr>
      <w:numPr>
        <w:numId w:val="3"/>
      </w:numPr>
      <w:spacing w:after="160" w:line="259" w:lineRule="auto"/>
      <w:ind w:left="1080"/>
    </w:pPr>
    <w:rPr>
      <w:rFonts w:asciiTheme="majorHAnsi" w:eastAsiaTheme="majorEastAsia" w:hAnsiTheme="majorHAnsi" w:cstheme="majorBidi"/>
      <w:b/>
      <w:color w:val="2E74B5" w:themeColor="accent1" w:themeShade="BF"/>
      <w:sz w:val="28"/>
      <w:szCs w:val="32"/>
    </w:rPr>
  </w:style>
  <w:style w:type="character" w:customStyle="1" w:styleId="Style1Char">
    <w:name w:val="Style1 Char"/>
    <w:basedOn w:val="VuiChar"/>
    <w:link w:val="Style1"/>
    <w:rsid w:val="005116EA"/>
    <w:rPr>
      <w:rFonts w:asciiTheme="majorHAnsi" w:eastAsiaTheme="majorEastAsia" w:hAnsiTheme="majorHAnsi" w:cstheme="majorBidi"/>
      <w:color w:val="2E74B5" w:themeColor="accent1" w:themeShade="BF"/>
      <w:sz w:val="28"/>
      <w:szCs w:val="32"/>
    </w:rPr>
  </w:style>
  <w:style w:type="paragraph" w:customStyle="1" w:styleId="Style2">
    <w:name w:val="Style2"/>
    <w:basedOn w:val="NoSpacing"/>
    <w:link w:val="Style2Char"/>
    <w:qFormat/>
    <w:rsid w:val="005116EA"/>
    <w:pPr>
      <w:numPr>
        <w:numId w:val="4"/>
      </w:numPr>
    </w:pPr>
    <w:rPr>
      <w:rFonts w:asciiTheme="majorHAnsi" w:eastAsiaTheme="majorEastAsia" w:hAnsiTheme="majorHAnsi" w:cstheme="majorBidi"/>
      <w:color w:val="2E74B5" w:themeColor="accent1" w:themeShade="BF"/>
      <w:sz w:val="28"/>
      <w:szCs w:val="32"/>
    </w:rPr>
  </w:style>
  <w:style w:type="character" w:customStyle="1" w:styleId="Style2Char">
    <w:name w:val="Style2 Char"/>
    <w:basedOn w:val="Style1Char"/>
    <w:link w:val="Style2"/>
    <w:rsid w:val="005116EA"/>
    <w:rPr>
      <w:rFonts w:asciiTheme="majorHAnsi" w:eastAsiaTheme="majorEastAsia" w:hAnsiTheme="majorHAnsi" w:cstheme="majorBidi"/>
      <w:color w:val="2E74B5" w:themeColor="accent1" w:themeShade="BF"/>
      <w:sz w:val="28"/>
      <w:szCs w:val="32"/>
    </w:rPr>
  </w:style>
  <w:style w:type="paragraph" w:styleId="NoSpacing">
    <w:name w:val="No Spacing"/>
    <w:uiPriority w:val="1"/>
    <w:qFormat/>
    <w:rsid w:val="005116EA"/>
    <w:pPr>
      <w:spacing w:after="0" w:line="240" w:lineRule="auto"/>
    </w:pPr>
  </w:style>
  <w:style w:type="paragraph" w:customStyle="1" w:styleId="Style3">
    <w:name w:val="Style3"/>
    <w:basedOn w:val="Normal"/>
    <w:link w:val="Style3Char"/>
    <w:qFormat/>
    <w:rsid w:val="005116EA"/>
    <w:pPr>
      <w:spacing w:after="160" w:line="259" w:lineRule="auto"/>
    </w:pPr>
    <w:rPr>
      <w:rFonts w:eastAsiaTheme="minorHAnsi" w:cstheme="majorHAnsi"/>
      <w:b/>
      <w:sz w:val="26"/>
    </w:rPr>
  </w:style>
  <w:style w:type="character" w:customStyle="1" w:styleId="Style3Char">
    <w:name w:val="Style3 Char"/>
    <w:basedOn w:val="DefaultParagraphFont"/>
    <w:link w:val="Style3"/>
    <w:rsid w:val="0051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8DB24-D4BA-4976-BA55-9915FD49781C}"/>
</file>

<file path=customXml/itemProps2.xml><?xml version="1.0" encoding="utf-8"?>
<ds:datastoreItem xmlns:ds="http://schemas.openxmlformats.org/officeDocument/2006/customXml" ds:itemID="{F5916F9A-F679-4891-9DB4-A78E5DC6E116}"/>
</file>

<file path=customXml/itemProps3.xml><?xml version="1.0" encoding="utf-8"?>
<ds:datastoreItem xmlns:ds="http://schemas.openxmlformats.org/officeDocument/2006/customXml" ds:itemID="{B48C840A-0D4C-447B-9EED-2E230BDCFEF1}"/>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dc:creator>
  <cp:keywords/>
  <dc:description/>
  <cp:lastModifiedBy>vui</cp:lastModifiedBy>
  <cp:revision>1</cp:revision>
  <dcterms:created xsi:type="dcterms:W3CDTF">2016-05-06T11:21:00Z</dcterms:created>
  <dcterms:modified xsi:type="dcterms:W3CDTF">2016-05-06T11:21:00Z</dcterms:modified>
</cp:coreProperties>
</file>